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bookmarkStart w:id="0" w:name="_GoBack"/>
      <w:bookmarkEnd w:id="0"/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Правилами устанавливается новое квалификационное требование в виде </w:t>
      </w: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lang w:eastAsia="ru-RU"/>
        </w:rPr>
        <w:t>финансовой устойчивости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 потенциального поставщика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lang w:eastAsia="ru-RU"/>
        </w:rPr>
        <w:t>Важно!!! Конкурс с предварительным квалификационным отбором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. Приказ Министерства финансов от 31 мая 2019 года № 521 - </w:t>
      </w: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lang w:eastAsia="ru-RU"/>
        </w:rPr>
        <w:t>Перечень товаров, работ, услуг,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 по которым государственные закупки осуществляются способом конкурса с предварительным квалификационным отбором (далее - ПКО)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Установление </w:t>
      </w: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u w:val="single"/>
          <w:lang w:eastAsia="ru-RU"/>
        </w:rPr>
        <w:t>требования к содержанию конкурсной документации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 при закупке строительно-монтажных работ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Изменение требований к содержанию заключения эксперта/экспертной комиссии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Изменение </w:t>
      </w: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u w:val="single"/>
          <w:lang w:eastAsia="ru-RU"/>
        </w:rPr>
        <w:t>порядка расчета условной цены при закупе услуг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, в случае привлечения эксперта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u w:val="single"/>
          <w:lang w:eastAsia="ru-RU"/>
        </w:rPr>
        <w:t>Корректировки при определении демпинговой цены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 и порядка внесения суммы в соответствии со статьей 26 Закона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Введение </w:t>
      </w: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u w:val="single"/>
          <w:lang w:eastAsia="ru-RU"/>
        </w:rPr>
        <w:t>новых приложений для заказчиков,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 с целью установления в них квалификационных требований к потенциальному поставщику, предусмотренных пунктом 1 статьи 9 Закона «О государственных закупках»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Введение </w:t>
      </w: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lang w:eastAsia="ru-RU"/>
        </w:rPr>
        <w:t>новых форм Технических спецификаций для заказчиков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 при государственных закупках товаров/работ/услуг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lang w:eastAsia="ru-RU"/>
        </w:rPr>
        <w:t>ОЧЕНЬ ВАЖНО!!! Изменение порядка и сроков заключения прямого договора!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Установление требования по наличию опыта работы </w:t>
      </w: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u w:val="single"/>
          <w:lang w:eastAsia="ru-RU"/>
        </w:rPr>
        <w:t>1 (один) год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 при закупе способом конкурса (лота) или аукциона превышают </w:t>
      </w: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u w:val="single"/>
          <w:lang w:eastAsia="ru-RU"/>
        </w:rPr>
        <w:t>25 000 МРП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lang w:eastAsia="ru-RU"/>
        </w:rPr>
        <w:t>ОЧЕНЬ ВАЖНО!!! Очередное изменение приложений к конкурсной документации №№ 5, 5-1, 6, 7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Новый договор о государственных закупках при разработке проектно-сметной документации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Изменения </w:t>
      </w: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lang w:eastAsia="ru-RU"/>
        </w:rPr>
        <w:t>в типовых договорах, касающихся приемки товаров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 и материалов по строительно-монтажным работам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Введение на веб-портале </w:t>
      </w: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lang w:eastAsia="ru-RU"/>
        </w:rPr>
        <w:t>функционала «Электронного депозитария»,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 содержащего сведения и документы, подтверждающие опыт работы</w:t>
      </w:r>
    </w:p>
    <w:p w:rsidR="007E5873" w:rsidRPr="007E5873" w:rsidRDefault="007E5873" w:rsidP="007E5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</w:pPr>
      <w:r w:rsidRPr="007E5873">
        <w:rPr>
          <w:rFonts w:ascii="ProximaNova-Regular" w:eastAsia="Times New Roman" w:hAnsi="ProximaNova-Regular" w:cs="Times New Roman"/>
          <w:b/>
          <w:bCs/>
          <w:color w:val="FF0000"/>
          <w:sz w:val="25"/>
          <w:szCs w:val="25"/>
          <w:lang w:eastAsia="ru-RU"/>
        </w:rPr>
        <w:t>Исключение приложения 27 к Правилам</w:t>
      </w:r>
      <w:r w:rsidRPr="007E5873">
        <w:rPr>
          <w:rFonts w:ascii="ProximaNova-Regular" w:eastAsia="Times New Roman" w:hAnsi="ProximaNova-Regular" w:cs="Times New Roman"/>
          <w:color w:val="333333"/>
          <w:sz w:val="25"/>
          <w:szCs w:val="25"/>
          <w:lang w:eastAsia="ru-RU"/>
        </w:rPr>
        <w:t> осуществления государственных закупок!</w:t>
      </w:r>
    </w:p>
    <w:p w:rsidR="00B243E4" w:rsidRDefault="00B243E4"/>
    <w:sectPr w:rsidR="00B2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F414A"/>
    <w:multiLevelType w:val="multilevel"/>
    <w:tmpl w:val="F730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73"/>
    <w:rsid w:val="007E5873"/>
    <w:rsid w:val="00B2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B144F-5D34-492C-A4D4-51021C89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5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2019-09-24T03:52:00Z</dcterms:created>
  <dcterms:modified xsi:type="dcterms:W3CDTF">2019-09-24T03:52:00Z</dcterms:modified>
</cp:coreProperties>
</file>